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4B4B4B"/>
          <w:kern w:val="36"/>
          <w:sz w:val="30"/>
          <w:szCs w:val="30"/>
        </w:rPr>
      </w:pPr>
      <w:r>
        <w:rPr>
          <w:rFonts w:hint="eastAsia" w:ascii="微软雅黑" w:hAnsi="微软雅黑" w:eastAsia="微软雅黑" w:cs="宋体"/>
          <w:b/>
          <w:bCs/>
          <w:color w:val="4B4B4B"/>
          <w:kern w:val="36"/>
          <w:sz w:val="30"/>
          <w:szCs w:val="30"/>
        </w:rPr>
        <w:t>教育部关于印发《普通高等学校本科教育</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教学审核评估实施方案（2021—2025年）》</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的通知</w:t>
      </w:r>
    </w:p>
    <w:p>
      <w:pPr>
        <w:widowControl/>
        <w:shd w:val="clear" w:color="auto" w:fill="FFFFFF"/>
        <w:spacing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教督〔2021〕1号</w:t>
      </w:r>
    </w:p>
    <w:p>
      <w:pPr>
        <w:widowControl/>
        <w:shd w:val="clear" w:color="auto" w:fill="FFFFFF"/>
        <w:spacing w:line="480" w:lineRule="atLeast"/>
        <w:jc w:val="left"/>
        <w:rPr>
          <w:rFonts w:hint="eastAsia" w:ascii="微软雅黑" w:hAnsi="微软雅黑" w:eastAsia="微软雅黑" w:cs="宋体"/>
          <w:color w:val="4B4B4B"/>
          <w:kern w:val="0"/>
          <w:sz w:val="27"/>
          <w:szCs w:val="27"/>
        </w:rPr>
      </w:pPr>
      <w:bookmarkStart w:id="1" w:name="_GoBack"/>
      <w:r>
        <w:rPr>
          <w:rFonts w:hint="eastAsia" w:ascii="微软雅黑" w:hAnsi="微软雅黑" w:eastAsia="微软雅黑" w:cs="宋体"/>
          <w:color w:val="4B4B4B"/>
          <w:kern w:val="0"/>
          <w:sz w:val="27"/>
          <w:szCs w:val="27"/>
        </w:rPr>
        <w:t>各省、自治区、直辖市教育厅（教委），新疆生产建设兵团教育局，有关部门（单位）教育司（局），部属各高等学校、部省合建各高等学校：</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pPr>
        <w:widowControl/>
        <w:shd w:val="clear" w:color="auto" w:fill="FFFFFF"/>
        <w:spacing w:line="480" w:lineRule="atLeast"/>
        <w:jc w:val="righ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教育部</w:t>
      </w:r>
    </w:p>
    <w:p>
      <w:pPr>
        <w:widowControl/>
        <w:shd w:val="clear" w:color="auto" w:fill="FFFFFF"/>
        <w:spacing w:line="480" w:lineRule="atLeast"/>
        <w:jc w:val="righ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2021年1月21日</w:t>
      </w:r>
    </w:p>
    <w:p>
      <w:pPr>
        <w:widowControl/>
        <w:shd w:val="clear" w:color="auto" w:fill="FFFFFF"/>
        <w:spacing w:line="480" w:lineRule="atLeast"/>
        <w:jc w:val="center"/>
        <w:rPr>
          <w:rFonts w:hint="eastAsia" w:ascii="微软雅黑" w:hAnsi="微软雅黑" w:eastAsia="微软雅黑" w:cs="宋体"/>
          <w:color w:val="4B4B4B"/>
          <w:kern w:val="0"/>
          <w:sz w:val="27"/>
          <w:szCs w:val="27"/>
        </w:rPr>
      </w:pPr>
      <w:r>
        <w:rPr>
          <w:rFonts w:hint="eastAsia" w:ascii="微软雅黑" w:hAnsi="微软雅黑" w:eastAsia="微软雅黑" w:cs="宋体"/>
          <w:b/>
          <w:bCs/>
          <w:color w:val="4B4B4B"/>
          <w:kern w:val="0"/>
          <w:sz w:val="27"/>
          <w:szCs w:val="27"/>
        </w:rPr>
        <w:t>普通高等学校本科教育教学审核评估实施方案（2021—2025年）</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bookmarkEnd w:id="1"/>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szCs w:val="27"/>
        </w:rPr>
        <w:t>一、指导思想</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szCs w:val="27"/>
        </w:rPr>
        <w:t>二、基本原则</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（一）坚持立德树人。把牢社会主义办学方向，构建以立德树人成效为根本标准的评估体系，加强对学校办学方向、育人过程、学生发展、质量保障体系等方面的审核，引导高校构建“三全育人”格局。</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二）坚持推进改革。紧扣本科教育教学改革主线，落实“以本为本”“四个回归”，强化学生中心、产出导向、持续改进，以评估理念引领改革、以评估举措落实改革、以评估标准检验改革，实现高质量内涵式发展。</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（三）坚持分类指导。适应高等教育多样化发展需求，依据不同层次不同类型高校办学定位、培养目标、教育教学水平和质量保障体系建设情况，实施分类评价、精准评价，引导和激励高校各展所长、特色发展。</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四）坚持问题导向。建立“问题清单”，严把高校正确办学方向，落实本科人才培养底线要求，提出改进发展意见，强化评估结果使用和督导复查，推动高校落实主体责任、建立持续改进长效机制，培育践行高校质量文化。</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（五）坚持方法创新。综合运用互联网、大数据、人工智能等现代信息技术手段，深度挖掘常态监测数据，采取线上与入校结合、定性与定量结合、明察与暗访结合等方式，切实减轻高校负担，提高工作实效。</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szCs w:val="27"/>
        </w:rPr>
        <w:t>三、评估对象、周期及分类</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一）评估对象和周期。经国家正式批准独立设置的普通本科高校均应参加审核评估，其中：新建普通本科高校应先参加普通高等学校本科教学工作合格评估，原则上获得“通过”结论5年后方可参加本轮审核评估。</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审核评估每5年一个周期，本轮审核评估时间为2021—2025年。</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2.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szCs w:val="27"/>
        </w:rPr>
        <w:t>四、评估程序</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审核评估程序包括评估申请、学校自评、专家评审、反馈结论、限期整改、督导复查。</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教育部普通高等学校本科教育教学评估专家委员会（以下简称教育部评估专家委员会）审议第一类审核评估参评高校。</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通过教育部认证（评估）并在有效期内的专业（课程），免于评估考察，切实减轻高校负担。</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szCs w:val="27"/>
        </w:rPr>
        <w:t>五、组织管理</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教育部评估中心制订专家管理办法，建设全国统一、开放共享的专家库，建立专家组织推荐、专业培训、持证入库、随机遴选、异地选派及淘汰退出机制。</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审核评估经费由有关具体组织部门负责落实。</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微软雅黑" w:hAnsi="微软雅黑" w:eastAsia="微软雅黑" w:cs="宋体"/>
          <w:b/>
          <w:bCs/>
          <w:color w:val="4B4B4B"/>
          <w:kern w:val="0"/>
          <w:sz w:val="27"/>
          <w:szCs w:val="27"/>
        </w:rPr>
        <w:t>六、纪律与监督</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p/>
    <w:p>
      <w:pPr>
        <w:spacing w:before="156" w:beforeLines="50" w:after="156" w:afterLines="50" w:line="560" w:lineRule="exact"/>
        <w:jc w:val="left"/>
        <w:rPr>
          <w:rFonts w:ascii="Times New Roman" w:hAnsi="Times New Roman" w:eastAsia="黑体"/>
          <w:bCs/>
          <w:sz w:val="32"/>
          <w:szCs w:val="32"/>
        </w:rPr>
      </w:pPr>
      <w:r>
        <w:rPr>
          <w:rFonts w:hint="eastAsia" w:ascii="Times New Roman" w:hAnsi="Times New Roman" w:eastAsia="黑体"/>
          <w:bCs/>
          <w:sz w:val="32"/>
          <w:szCs w:val="32"/>
        </w:rPr>
        <w:t>附件</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普通高等学校本科教育教学审核评估</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指标体系</w:t>
      </w: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p>
      <w:pPr>
        <w:spacing w:line="560" w:lineRule="exact"/>
        <w:rPr>
          <w:rFonts w:ascii="Times New Roman" w:hAnsi="Times New Roman" w:eastAsia="黑体"/>
          <w:sz w:val="30"/>
          <w:szCs w:val="30"/>
        </w:rPr>
      </w:pPr>
      <w:r>
        <w:rPr>
          <w:rFonts w:ascii="Times New Roman" w:hAnsi="Times New Roman" w:eastAsia="黑体"/>
          <w:sz w:val="30"/>
          <w:szCs w:val="30"/>
        </w:rPr>
        <w:t>一</w:t>
      </w:r>
      <w:r>
        <w:rPr>
          <w:rFonts w:hint="eastAsia" w:ascii="Times New Roman" w:hAnsi="Times New Roman" w:eastAsia="黑体"/>
          <w:sz w:val="30"/>
          <w:szCs w:val="30"/>
        </w:rPr>
        <w:t>、第一类审核评估</w:t>
      </w: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82"/>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253"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一级指标</w:t>
            </w:r>
          </w:p>
        </w:tc>
        <w:tc>
          <w:tcPr>
            <w:tcW w:w="1582"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二级指标</w:t>
            </w:r>
          </w:p>
        </w:tc>
        <w:tc>
          <w:tcPr>
            <w:tcW w:w="5505"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shd w:val="clear" w:color="auto" w:fill="auto"/>
            <w:vAlign w:val="center"/>
          </w:tcPr>
          <w:p>
            <w:pPr>
              <w:widowControl/>
              <w:spacing w:line="300" w:lineRule="exact"/>
              <w:jc w:val="left"/>
              <w:rPr>
                <w:rFonts w:ascii="Times New Roman" w:hAnsi="Times New Roman" w:eastAsia="黑体" w:cs="宋体"/>
                <w:kern w:val="0"/>
                <w:szCs w:val="21"/>
              </w:rPr>
            </w:pPr>
            <w:r>
              <w:rPr>
                <w:rFonts w:hint="eastAsia" w:ascii="Times New Roman" w:hAnsi="Times New Roman" w:cs="宋体"/>
                <w:kern w:val="0"/>
                <w:szCs w:val="21"/>
              </w:rPr>
              <w:t>1</w:t>
            </w:r>
            <w:r>
              <w:rPr>
                <w:rFonts w:ascii="Times New Roman" w:hAnsi="Times New Roman" w:cs="宋体"/>
                <w:kern w:val="0"/>
                <w:szCs w:val="21"/>
              </w:rPr>
              <w:t>.</w:t>
            </w:r>
            <w:r>
              <w:rPr>
                <w:rFonts w:hint="eastAsia" w:ascii="Times New Roman" w:hAnsi="Times New Roman" w:cs="宋体"/>
                <w:kern w:val="0"/>
                <w:szCs w:val="21"/>
              </w:rPr>
              <w:t>党的领导</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hint="eastAsia" w:ascii="Times New Roman" w:hAnsi="Times New Roman" w:cs="宋体"/>
                <w:kern w:val="0"/>
                <w:szCs w:val="21"/>
              </w:rPr>
              <w:t>党的全面领导和</w:t>
            </w:r>
            <w:r>
              <w:rPr>
                <w:rFonts w:ascii="Times New Roman" w:hAnsi="Times New Roman" w:cs="宋体"/>
                <w:kern w:val="0"/>
                <w:szCs w:val="21"/>
              </w:rPr>
              <w:t>社会主义办学</w:t>
            </w:r>
            <w:r>
              <w:rPr>
                <w:rFonts w:hint="eastAsia" w:ascii="Times New Roman" w:hAnsi="Times New Roman" w:cs="宋体"/>
                <w:kern w:val="0"/>
                <w:szCs w:val="21"/>
              </w:rPr>
              <w:t>方向</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hint="eastAsia" w:ascii="Times New Roman" w:hAnsi="Times New Roman" w:cs="宋体"/>
                <w:kern w:val="0"/>
                <w:szCs w:val="21"/>
              </w:rPr>
              <w:t>学校坚持党的全面领导，依法治教、依法办学、依法治校，</w:t>
            </w:r>
            <w:r>
              <w:rPr>
                <w:rFonts w:ascii="Times New Roman" w:hAnsi="Times New Roman" w:cs="宋体"/>
                <w:kern w:val="0"/>
                <w:szCs w:val="21"/>
              </w:rPr>
              <w:t>围绕国家</w:t>
            </w:r>
            <w:r>
              <w:rPr>
                <w:rFonts w:hint="eastAsia" w:ascii="Times New Roman" w:hAnsi="Times New Roman" w:cs="宋体"/>
                <w:kern w:val="0"/>
                <w:szCs w:val="21"/>
              </w:rPr>
              <w:t>重大战略需求培养担当民族复兴大任的时代新人情况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eastAsia="黑体" w:cs="宋体"/>
                <w:kern w:val="0"/>
                <w:szCs w:val="21"/>
              </w:rPr>
            </w:pPr>
          </w:p>
        </w:tc>
        <w:tc>
          <w:tcPr>
            <w:tcW w:w="5505" w:type="dxa"/>
            <w:shd w:val="clear" w:color="auto" w:fill="auto"/>
            <w:vAlign w:val="center"/>
          </w:tcPr>
          <w:p>
            <w:pPr>
              <w:widowControl/>
              <w:spacing w:line="300" w:lineRule="exact"/>
              <w:jc w:val="left"/>
              <w:rPr>
                <w:rFonts w:ascii="Times New Roman" w:hAnsi="Times New Roman" w:eastAsia="黑体" w:cs="宋体"/>
                <w:kern w:val="0"/>
                <w:szCs w:val="21"/>
              </w:rPr>
            </w:pPr>
            <w:r>
              <w:rPr>
                <w:rFonts w:ascii="Times New Roman" w:hAnsi="Times New Roman" w:cs="宋体"/>
                <w:kern w:val="0"/>
                <w:szCs w:val="21"/>
              </w:rPr>
              <w:t xml:space="preserve">1.1.2 </w:t>
            </w:r>
            <w:r>
              <w:rPr>
                <w:rFonts w:hint="eastAsia" w:ascii="Times New Roman" w:hAnsi="Times New Roman" w:cs="宋体"/>
                <w:kern w:val="0"/>
                <w:szCs w:val="21"/>
              </w:rPr>
              <w:t>学校坚持社会主义办学方向、贯彻落实立德树人根本任务、</w:t>
            </w:r>
            <w:r>
              <w:rPr>
                <w:rFonts w:hint="eastAsia" w:ascii="Times New Roman" w:hAnsi="Times New Roman" w:cs="宋体"/>
                <w:kern w:val="0"/>
                <w:szCs w:val="21"/>
                <w:lang w:val="zh-TW"/>
              </w:rPr>
              <w:t>把立德树人成效作为检验学校一切工作的根本标准</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.质量保障能力</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2.1质保理念</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hint="eastAsia" w:ascii="Times New Roman" w:hAnsi="Times New Roman" w:cs="宋体"/>
                <w:kern w:val="0"/>
                <w:szCs w:val="21"/>
              </w:rPr>
              <w:t>质量保障理念及其先进性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hint="eastAsia" w:ascii="Times New Roman" w:hAnsi="Times New Roman" w:cs="宋体"/>
                <w:kern w:val="0"/>
                <w:szCs w:val="21"/>
              </w:rPr>
              <w:t>质量保障理念在质量保障体系建立与运行以及质量文化形成中的作用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2.2质量标准</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hint="eastAsia" w:ascii="Times New Roman" w:hAnsi="Times New Roman" w:cs="宋体"/>
                <w:kern w:val="0"/>
                <w:szCs w:val="21"/>
              </w:rPr>
              <w:t>依据国家相关标准，符合国家、社会及学生等利益相关者诉求的一流质量标准建设情况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hint="eastAsia" w:ascii="Times New Roman" w:hAnsi="Times New Roman" w:cs="宋体"/>
                <w:kern w:val="0"/>
                <w:szCs w:val="21"/>
              </w:rPr>
              <w:t>各教学环节质量标准落实情况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2.3质保机制</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hint="eastAsia" w:ascii="Times New Roman" w:hAnsi="Times New Roman" w:cs="宋体"/>
                <w:kern w:val="0"/>
                <w:szCs w:val="21"/>
              </w:rPr>
              <w:t>质量监控部门及其职责，质量监控队伍的数量、结构和人员素质情况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hint="eastAsia" w:ascii="Times New Roman" w:hAnsi="Times New Roman" w:cs="宋体"/>
                <w:kern w:val="0"/>
                <w:szCs w:val="21"/>
              </w:rPr>
              <w:t>自我评价机制、评价结果反馈机制、质量改进机制的建立与运行情况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2.4质量文化</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hint="eastAsia" w:ascii="Times New Roman" w:hAnsi="Times New Roman" w:cs="宋体"/>
                <w:kern w:val="0"/>
                <w:szCs w:val="21"/>
              </w:rPr>
              <w:t>将质量价值观落实到教育教学各环节、将质量要求内化为全校师生的共同价值追求和行为情况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2.5质保效果</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hint="eastAsia" w:ascii="Times New Roman" w:hAnsi="Times New Roman" w:cs="宋体"/>
                <w:kern w:val="0"/>
                <w:szCs w:val="21"/>
              </w:rPr>
              <w:t>培养目标的达成度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hint="eastAsia" w:ascii="Times New Roman" w:hAnsi="Times New Roman" w:cs="宋体"/>
                <w:kern w:val="0"/>
                <w:szCs w:val="21"/>
              </w:rPr>
              <w:t>社会需求的适应度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hint="eastAsia" w:ascii="Times New Roman" w:hAnsi="Times New Roman" w:cs="宋体"/>
                <w:kern w:val="0"/>
                <w:szCs w:val="21"/>
              </w:rPr>
              <w:t>师资和条件的保障度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hint="eastAsia" w:ascii="Times New Roman" w:hAnsi="Times New Roman" w:cs="宋体"/>
                <w:kern w:val="0"/>
                <w:szCs w:val="21"/>
              </w:rPr>
              <w:t>质量保障运行的有效度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hint="eastAsia" w:ascii="Times New Roman" w:hAnsi="Times New Roman" w:cs="宋体"/>
                <w:kern w:val="0"/>
                <w:szCs w:val="21"/>
              </w:rPr>
              <w:t>学生和用人单位的满意度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hint="eastAsia" w:ascii="Times New Roman" w:hAnsi="Times New Roman" w:cs="宋体"/>
                <w:kern w:val="0"/>
                <w:szCs w:val="21"/>
              </w:rPr>
              <w:t>.教育教学水平</w:t>
            </w:r>
          </w:p>
        </w:tc>
        <w:tc>
          <w:tcPr>
            <w:tcW w:w="1582" w:type="dxa"/>
            <w:vMerge w:val="restart"/>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3.1思政教育</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1 落实意识形态工作</w:t>
            </w:r>
            <w:r>
              <w:rPr>
                <w:rFonts w:ascii="Times New Roman" w:hAnsi="Times New Roman" w:cs="宋体"/>
                <w:kern w:val="0"/>
                <w:szCs w:val="21"/>
              </w:rPr>
              <w:t>责任制，</w:t>
            </w:r>
            <w:r>
              <w:rPr>
                <w:rFonts w:hint="eastAsia" w:ascii="Times New Roman" w:hAnsi="Times New Roman" w:cs="宋体"/>
                <w:kern w:val="0"/>
                <w:szCs w:val="21"/>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加强思想政治理论课教师队伍和思政课程建设情况，按要求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思政课专任教师与折合在校生比例≥1:350</w:t>
            </w:r>
          </w:p>
          <w:p>
            <w:pPr>
              <w:spacing w:line="300" w:lineRule="exact"/>
              <w:jc w:val="left"/>
              <w:rPr>
                <w:rFonts w:ascii="Times New Roman" w:hAnsi="Times New Roman" w:cs="宋体"/>
                <w:kern w:val="0"/>
                <w:szCs w:val="21"/>
              </w:rPr>
            </w:pPr>
            <w:r>
              <w:rPr>
                <w:rFonts w:hint="eastAsia" w:ascii="Times New Roman" w:hAnsi="Times New Roman" w:cs="宋体"/>
                <w:kern w:val="0"/>
                <w:szCs w:val="21"/>
              </w:rPr>
              <w:t>【必选】生均思政工作和党务工作队伍建设专项经费≥20元</w:t>
            </w:r>
          </w:p>
          <w:p>
            <w:pPr>
              <w:spacing w:line="300" w:lineRule="exact"/>
              <w:jc w:val="left"/>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必选</w:t>
            </w:r>
            <w:r>
              <w:rPr>
                <w:rFonts w:ascii="Times New Roman" w:hAnsi="Times New Roman" w:cs="宋体"/>
                <w:kern w:val="0"/>
                <w:szCs w:val="21"/>
              </w:rPr>
              <w:t>】</w:t>
            </w:r>
            <w:r>
              <w:rPr>
                <w:rFonts w:hint="eastAsia" w:ascii="Times New Roman" w:hAnsi="Times New Roman" w:cs="宋体"/>
                <w:kern w:val="0"/>
                <w:szCs w:val="21"/>
              </w:rPr>
              <w:t>专职党务工作人员和思想政治工作人员总数与全校师生人数比例≥1:100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40</w:t>
            </w:r>
            <w:r>
              <w:rPr>
                <w:rFonts w:hint="eastAsia" w:ascii="Times New Roman" w:hAnsi="Times New Roman"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 xml:space="preserve">3 </w:t>
            </w:r>
            <w:r>
              <w:rPr>
                <w:rFonts w:ascii="Times New Roman" w:hAnsi="Times New Roman" w:cs="宋体"/>
                <w:kern w:val="0"/>
                <w:szCs w:val="21"/>
              </w:rPr>
              <w:t>推动</w:t>
            </w:r>
            <w:r>
              <w:rPr>
                <w:rFonts w:hint="eastAsia" w:ascii="Times New Roman" w:hAnsi="Times New Roman" w:cs="宋体"/>
                <w:kern w:val="0"/>
                <w:szCs w:val="21"/>
              </w:rPr>
              <w:t>“</w:t>
            </w:r>
            <w:r>
              <w:rPr>
                <w:rFonts w:ascii="Times New Roman" w:hAnsi="Times New Roman" w:cs="宋体"/>
                <w:kern w:val="0"/>
                <w:szCs w:val="21"/>
              </w:rPr>
              <w:t>课程思政</w:t>
            </w:r>
            <w:r>
              <w:rPr>
                <w:rFonts w:hint="eastAsia" w:ascii="Times New Roman" w:hAnsi="Times New Roman" w:cs="宋体"/>
                <w:kern w:val="0"/>
                <w:szCs w:val="21"/>
              </w:rPr>
              <w:t>”</w:t>
            </w:r>
            <w:r>
              <w:rPr>
                <w:rFonts w:ascii="Times New Roman" w:hAnsi="Times New Roman" w:cs="宋体"/>
                <w:kern w:val="0"/>
                <w:szCs w:val="21"/>
              </w:rPr>
              <w:t>建设的创新举措与实施成效</w:t>
            </w:r>
            <w:r>
              <w:rPr>
                <w:rFonts w:hint="eastAsia" w:ascii="Times New Roman" w:hAnsi="Times New Roman" w:cs="宋体"/>
                <w:kern w:val="0"/>
                <w:szCs w:val="21"/>
              </w:rPr>
              <w:t>，课程思政示范课程、课程思政教学研究示范中心以及课程思政教学名师和</w:t>
            </w:r>
            <w:r>
              <w:rPr>
                <w:rFonts w:ascii="Times New Roman" w:hAnsi="Times New Roman" w:cs="宋体"/>
                <w:kern w:val="0"/>
                <w:szCs w:val="21"/>
              </w:rPr>
              <w:t>团队</w:t>
            </w:r>
            <w:r>
              <w:rPr>
                <w:rFonts w:hint="eastAsia" w:ascii="Times New Roman" w:hAnsi="Times New Roman" w:cs="宋体"/>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4</w:t>
            </w:r>
            <w:r>
              <w:rPr>
                <w:rFonts w:ascii="Times New Roman" w:hAnsi="Times New Roman" w:cs="宋体"/>
                <w:kern w:val="0"/>
                <w:szCs w:val="21"/>
              </w:rPr>
              <w:t xml:space="preserve"> 学校对教师</w:t>
            </w:r>
            <w:r>
              <w:rPr>
                <w:rFonts w:hint="eastAsia" w:ascii="Times New Roman" w:hAnsi="Times New Roman" w:cs="宋体"/>
                <w:kern w:val="0"/>
                <w:szCs w:val="21"/>
              </w:rPr>
              <w:t>、</w:t>
            </w:r>
            <w:r>
              <w:rPr>
                <w:rFonts w:ascii="Times New Roman" w:hAnsi="Times New Roman" w:cs="宋体"/>
                <w:kern w:val="0"/>
                <w:szCs w:val="21"/>
              </w:rPr>
              <w:t>学生出现思想政治</w:t>
            </w:r>
            <w:r>
              <w:rPr>
                <w:rFonts w:hint="eastAsia" w:ascii="Times New Roman" w:hAnsi="Times New Roman" w:cs="宋体"/>
                <w:kern w:val="0"/>
                <w:szCs w:val="21"/>
              </w:rPr>
              <w:t>、</w:t>
            </w:r>
            <w:r>
              <w:rPr>
                <w:rFonts w:ascii="Times New Roman" w:hAnsi="Times New Roman" w:cs="宋体"/>
                <w:kern w:val="0"/>
                <w:szCs w:val="21"/>
              </w:rPr>
              <w:t>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3.2本科地位</w:t>
            </w:r>
          </w:p>
        </w:tc>
        <w:tc>
          <w:tcPr>
            <w:tcW w:w="5505" w:type="dxa"/>
            <w:shd w:val="clear" w:color="auto" w:fill="auto"/>
            <w:vAlign w:val="center"/>
          </w:tcPr>
          <w:p>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hint="eastAsia" w:ascii="Times New Roman" w:hAnsi="Times New Roman" w:cs="宋体"/>
                <w:kern w:val="0"/>
                <w:szCs w:val="21"/>
              </w:rPr>
              <w:t>坚持“</w:t>
            </w:r>
            <w:r>
              <w:rPr>
                <w:rFonts w:ascii="Times New Roman" w:hAnsi="Times New Roman" w:cs="宋体"/>
                <w:kern w:val="0"/>
                <w:szCs w:val="21"/>
              </w:rPr>
              <w:t>以本为本</w:t>
            </w:r>
            <w:r>
              <w:rPr>
                <w:rFonts w:hint="eastAsia" w:ascii="Times New Roman" w:hAnsi="Times New Roman" w:cs="宋体"/>
                <w:kern w:val="0"/>
                <w:szCs w:val="21"/>
              </w:rPr>
              <w:t>”、推进“四个回归”情况；党委重视、校长主抓、院长落实一流本科教育的</w:t>
            </w:r>
            <w:r>
              <w:rPr>
                <w:rFonts w:ascii="Times New Roman" w:hAnsi="Times New Roman" w:cs="宋体"/>
                <w:kern w:val="0"/>
                <w:szCs w:val="21"/>
              </w:rPr>
              <w:t>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hint="eastAsia" w:ascii="Times New Roman" w:hAnsi="Times New Roman" w:cs="宋体"/>
                <w:kern w:val="0"/>
                <w:szCs w:val="21"/>
              </w:rPr>
              <w:t>学校</w:t>
            </w:r>
            <w:r>
              <w:rPr>
                <w:rFonts w:ascii="Times New Roman" w:hAnsi="Times New Roman" w:cs="宋体"/>
                <w:kern w:val="0"/>
                <w:szCs w:val="21"/>
              </w:rPr>
              <w:t>在教师</w:t>
            </w:r>
            <w:r>
              <w:rPr>
                <w:rFonts w:hint="eastAsia" w:ascii="Times New Roman" w:hAnsi="Times New Roman" w:cs="宋体"/>
                <w:kern w:val="0"/>
                <w:szCs w:val="21"/>
              </w:rPr>
              <w:t>引进、</w:t>
            </w:r>
            <w:r>
              <w:rPr>
                <w:rFonts w:ascii="Times New Roman" w:hAnsi="Times New Roman" w:cs="宋体"/>
                <w:kern w:val="0"/>
                <w:szCs w:val="21"/>
              </w:rPr>
              <w:t>职称评聘</w:t>
            </w:r>
            <w:r>
              <w:rPr>
                <w:rFonts w:hint="eastAsia" w:ascii="Times New Roman" w:hAnsi="Times New Roman" w:cs="宋体"/>
                <w:kern w:val="0"/>
                <w:szCs w:val="21"/>
              </w:rPr>
              <w:t>、</w:t>
            </w:r>
            <w:r>
              <w:rPr>
                <w:rFonts w:ascii="Times New Roman" w:hAnsi="Times New Roman" w:cs="宋体"/>
                <w:kern w:val="0"/>
                <w:szCs w:val="21"/>
              </w:rPr>
              <w:t>绩效考核</w:t>
            </w:r>
            <w:r>
              <w:rPr>
                <w:rFonts w:hint="eastAsia" w:ascii="Times New Roman" w:hAnsi="Times New Roman" w:cs="宋体"/>
                <w:kern w:val="0"/>
                <w:szCs w:val="21"/>
              </w:rPr>
              <w:t>等制度设计</w:t>
            </w:r>
            <w:r>
              <w:rPr>
                <w:rFonts w:ascii="Times New Roman" w:hAnsi="Times New Roman" w:cs="宋体"/>
                <w:kern w:val="0"/>
                <w:szCs w:val="21"/>
              </w:rPr>
              <w:t>中突出本科教育的具体举措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3.3教师队伍</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hint="eastAsia" w:ascii="Times New Roman" w:hAnsi="Times New Roman" w:cs="宋体"/>
                <w:kern w:val="0"/>
                <w:szCs w:val="21"/>
              </w:rPr>
              <w:t>落实师德师风是评价教师第一标准的情况，落实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hint="eastAsia" w:ascii="Times New Roman" w:hAnsi="Times New Roman" w:cs="宋体"/>
                <w:kern w:val="0"/>
                <w:szCs w:val="21"/>
              </w:rPr>
              <w:t>教师教学能力满足一流人才培养需求情况，引导高水平教师投入教育教学、推动教授全员为本科生上课、上好课的政策、举措与实施成效</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生师比（要求见备注</w:t>
            </w:r>
            <w:r>
              <w:rPr>
                <w:rFonts w:ascii="Times New Roman" w:hAnsi="Times New Roman" w:cs="Times New Roman"/>
                <w:szCs w:val="21"/>
              </w:rPr>
              <w:t>3</w:t>
            </w:r>
            <w:r>
              <w:rPr>
                <w:rFonts w:hint="eastAsia" w:ascii="Times New Roman" w:hAnsi="Times New Roman" w:cs="Times New Roman"/>
                <w:szCs w:val="21"/>
              </w:rPr>
              <w:t>）</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具有博士学位教师占专任教师比例</w:t>
            </w:r>
          </w:p>
          <w:p>
            <w:pPr>
              <w:widowControl/>
              <w:spacing w:line="300" w:lineRule="exact"/>
              <w:jc w:val="left"/>
              <w:rPr>
                <w:rFonts w:ascii="Times New Roman" w:hAnsi="Times New Roman" w:cs="Times New Roman"/>
                <w:szCs w:val="21"/>
              </w:rPr>
            </w:pPr>
            <w:r>
              <w:rPr>
                <w:rFonts w:hint="eastAsia" w:ascii="Times New Roman" w:hAnsi="Times New Roman" w:cs="宋体"/>
                <w:szCs w:val="21"/>
              </w:rPr>
              <w:t>【</w:t>
            </w:r>
            <w:r>
              <w:rPr>
                <w:rFonts w:hint="eastAsia" w:ascii="Times New Roman" w:hAnsi="Times New Roman" w:cs="宋体"/>
                <w:kern w:val="0"/>
                <w:szCs w:val="21"/>
              </w:rPr>
              <w:t>必选】</w:t>
            </w:r>
            <w:r>
              <w:rPr>
                <w:rFonts w:hint="eastAsia" w:ascii="Times New Roman" w:hAnsi="Times New Roman" w:cs="宋体"/>
                <w:szCs w:val="21"/>
              </w:rPr>
              <w:t>主讲本科课程教授占教授总数的比例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hint="eastAsia" w:ascii="Times New Roman" w:hAnsi="Times New Roman" w:cs="宋体"/>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hint="eastAsia" w:ascii="Times New Roman" w:hAnsi="Times New Roman" w:cs="宋体"/>
                <w:kern w:val="0"/>
                <w:szCs w:val="21"/>
              </w:rPr>
              <w:t>4 加强教师教学发展中心、基层教学组织建设的举措与成效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3.4学生</w:t>
            </w:r>
            <w:r>
              <w:rPr>
                <w:rFonts w:hint="eastAsia" w:ascii="Times New Roman" w:hAnsi="Times New Roman" w:cs="宋体"/>
                <w:kern w:val="0"/>
                <w:szCs w:val="21"/>
              </w:rPr>
              <w:t>发展与支持</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3.4.1 面向</w:t>
            </w:r>
            <w:r>
              <w:rPr>
                <w:rFonts w:hint="eastAsia" w:ascii="Times New Roman" w:hAnsi="Times New Roman" w:cs="宋体"/>
                <w:kern w:val="0"/>
                <w:szCs w:val="21"/>
              </w:rPr>
              <w:t>农村</w:t>
            </w:r>
            <w:r>
              <w:rPr>
                <w:rFonts w:ascii="Times New Roman" w:hAnsi="Times New Roman" w:cs="宋体"/>
                <w:kern w:val="0"/>
                <w:szCs w:val="21"/>
              </w:rPr>
              <w:t>和贫困地区</w:t>
            </w:r>
            <w:r>
              <w:rPr>
                <w:rFonts w:hint="eastAsia" w:ascii="Times New Roman" w:hAnsi="Times New Roman" w:cs="宋体"/>
                <w:kern w:val="0"/>
                <w:szCs w:val="21"/>
              </w:rPr>
              <w:t>、</w:t>
            </w:r>
            <w:r>
              <w:rPr>
                <w:rFonts w:ascii="Times New Roman" w:hAnsi="Times New Roman" w:cs="宋体"/>
                <w:kern w:val="0"/>
                <w:szCs w:val="21"/>
              </w:rPr>
              <w:t>民族地区等</w:t>
            </w:r>
            <w:r>
              <w:rPr>
                <w:rFonts w:hint="eastAsia" w:ascii="Times New Roman" w:hAnsi="Times New Roman" w:cs="宋体"/>
                <w:kern w:val="0"/>
                <w:szCs w:val="21"/>
              </w:rPr>
              <w:t>以及“强基计划”的</w:t>
            </w:r>
            <w:r>
              <w:rPr>
                <w:rFonts w:ascii="Times New Roman" w:hAnsi="Times New Roman" w:cs="宋体"/>
                <w:kern w:val="0"/>
                <w:szCs w:val="21"/>
              </w:rPr>
              <w:t>招生</w:t>
            </w:r>
            <w:r>
              <w:rPr>
                <w:rFonts w:hint="eastAsia" w:ascii="Times New Roman" w:hAnsi="Times New Roman" w:cs="宋体"/>
                <w:kern w:val="0"/>
                <w:szCs w:val="21"/>
              </w:rPr>
              <w:t>、</w:t>
            </w:r>
            <w:r>
              <w:rPr>
                <w:rFonts w:ascii="Times New Roman" w:hAnsi="Times New Roman" w:cs="宋体"/>
                <w:kern w:val="0"/>
                <w:szCs w:val="21"/>
              </w:rPr>
              <w:t>培养举措与实施成效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hint="eastAsia" w:ascii="Times New Roman" w:hAnsi="Times New Roman" w:cs="宋体"/>
                <w:kern w:val="0"/>
                <w:szCs w:val="21"/>
              </w:rPr>
              <w:t>促进学生德智体美劳全面发展，建立系统化</w:t>
            </w:r>
            <w:r>
              <w:rPr>
                <w:rFonts w:ascii="Times New Roman" w:hAnsi="Times New Roman" w:cs="宋体"/>
                <w:kern w:val="0"/>
                <w:szCs w:val="21"/>
              </w:rPr>
              <w:t>的学生发展和学业指导体系，</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【必选】专职从事心理健康教育教师与在校生比例≥1:4000且至少2名</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【必选】专职就业指导教师和专职就业工作人员与应届毕业生比例≥1:500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【必选】学生毕业必须修满公共艺术课程学分数≥2学分</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【必选】劳动教育必修课或必修课程中劳动教育模块学时总数≥32学时</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【必选】实践教学学分占总学分（学时）比例（人文社科类专业≥15%，理工农医类专业≥25%）</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【必选】以实验、实习、工程实践和社会调查等实践性工作为基础的</w:t>
            </w:r>
            <w:r>
              <w:rPr>
                <w:rFonts w:ascii="Times New Roman" w:hAnsi="Times New Roman" w:cs="Times New Roman"/>
                <w:szCs w:val="21"/>
              </w:rPr>
              <w:t>毕业</w:t>
            </w:r>
            <w:r>
              <w:rPr>
                <w:rFonts w:hint="eastAsia" w:ascii="Times New Roman" w:hAnsi="Times New Roman" w:cs="Times New Roman"/>
                <w:szCs w:val="21"/>
              </w:rPr>
              <w:t>论文（设计）比例≥50%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【必选】本科生体质测试达标率</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【可选】本科生在国内外文艺、体育、艺术等大赛中的获奖数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hint="eastAsia" w:ascii="Times New Roman" w:hAnsi="Times New Roman" w:cs="宋体"/>
                <w:kern w:val="0"/>
                <w:szCs w:val="21"/>
              </w:rPr>
              <w:t>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3.5卓越教学</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3.5.1 实施</w:t>
            </w:r>
            <w:r>
              <w:rPr>
                <w:rFonts w:hint="eastAsia" w:ascii="Times New Roman" w:hAnsi="Times New Roman" w:cs="宋体"/>
                <w:kern w:val="0"/>
                <w:szCs w:val="21"/>
              </w:rPr>
              <w:t>“六卓越一拔尖”人才培养计划2.0、新工科、新农科、新医科、新文科建设以及一流专业“双万计划”、</w:t>
            </w:r>
            <w:r>
              <w:rPr>
                <w:rFonts w:ascii="Times New Roman" w:hAnsi="Times New Roman" w:cs="宋体"/>
                <w:kern w:val="0"/>
                <w:szCs w:val="21"/>
              </w:rPr>
              <w:t>一流课程</w:t>
            </w:r>
            <w:r>
              <w:rPr>
                <w:rFonts w:hint="eastAsia" w:ascii="Times New Roman" w:hAnsi="Times New Roman" w:cs="宋体"/>
                <w:kern w:val="0"/>
                <w:szCs w:val="21"/>
              </w:rPr>
              <w:t>“双万计划”建设等举措及实施成效，</w:t>
            </w:r>
            <w:r>
              <w:rPr>
                <w:rFonts w:ascii="Times New Roman" w:hAnsi="Times New Roman" w:cs="宋体"/>
                <w:kern w:val="0"/>
                <w:szCs w:val="21"/>
              </w:rPr>
              <w:t>围绕</w:t>
            </w:r>
            <w:r>
              <w:rPr>
                <w:rFonts w:hint="eastAsia" w:ascii="Times New Roman" w:hAnsi="Times New Roman" w:cs="宋体"/>
                <w:kern w:val="0"/>
                <w:szCs w:val="21"/>
              </w:rPr>
              <w:t>“培育高水平</w:t>
            </w:r>
            <w:r>
              <w:rPr>
                <w:rFonts w:ascii="Times New Roman" w:hAnsi="Times New Roman" w:cs="宋体"/>
                <w:kern w:val="0"/>
                <w:szCs w:val="21"/>
              </w:rPr>
              <w:t>教学成果</w:t>
            </w:r>
            <w:r>
              <w:rPr>
                <w:rFonts w:hint="eastAsia" w:ascii="Times New Roman" w:hAnsi="Times New Roman" w:cs="宋体"/>
                <w:kern w:val="0"/>
                <w:szCs w:val="21"/>
              </w:rPr>
              <w:t>”开展</w:t>
            </w:r>
            <w:r>
              <w:rPr>
                <w:rFonts w:ascii="Times New Roman" w:hAnsi="Times New Roman" w:cs="宋体"/>
                <w:kern w:val="0"/>
                <w:szCs w:val="21"/>
              </w:rPr>
              <w:t>教研教改项目建设</w:t>
            </w:r>
            <w:r>
              <w:rPr>
                <w:rFonts w:hint="eastAsia" w:ascii="Times New Roman" w:hAnsi="Times New Roman" w:cs="宋体"/>
                <w:kern w:val="0"/>
                <w:szCs w:val="21"/>
              </w:rPr>
              <w:t>的举措</w:t>
            </w:r>
            <w:r>
              <w:rPr>
                <w:rFonts w:ascii="Times New Roman" w:hAnsi="Times New Roman" w:cs="宋体"/>
                <w:kern w:val="0"/>
                <w:szCs w:val="21"/>
              </w:rPr>
              <w:t>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hint="eastAsia" w:ascii="Times New Roman" w:hAnsi="Times New Roman" w:cs="宋体"/>
                <w:kern w:val="0"/>
                <w:szCs w:val="21"/>
              </w:rPr>
              <w:t>推动“</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的课堂教学改革</w:t>
            </w:r>
            <w:r>
              <w:rPr>
                <w:rFonts w:hint="eastAsia" w:ascii="Times New Roman" w:hAnsi="Times New Roman" w:cs="宋体"/>
                <w:kern w:val="0"/>
                <w:szCs w:val="21"/>
              </w:rPr>
              <w:t>，推进</w:t>
            </w:r>
            <w:r>
              <w:rPr>
                <w:rFonts w:ascii="Times New Roman" w:hAnsi="Times New Roman" w:cs="宋体"/>
                <w:kern w:val="0"/>
                <w:szCs w:val="21"/>
              </w:rPr>
              <w:t>信息技术与教学过程融合</w:t>
            </w:r>
            <w:r>
              <w:rPr>
                <w:rFonts w:hint="eastAsia" w:ascii="Times New Roman" w:hAnsi="Times New Roman" w:cs="宋体"/>
                <w:kern w:val="0"/>
                <w:szCs w:val="21"/>
              </w:rPr>
              <w:t>，加强线上</w:t>
            </w:r>
            <w:r>
              <w:rPr>
                <w:rFonts w:ascii="Times New Roman" w:hAnsi="Times New Roman" w:cs="宋体"/>
                <w:kern w:val="0"/>
                <w:szCs w:val="21"/>
              </w:rPr>
              <w:t>教学资源建设，</w:t>
            </w:r>
            <w:r>
              <w:rPr>
                <w:rFonts w:hint="eastAsia" w:ascii="Times New Roman" w:hAnsi="Times New Roman" w:cs="宋体"/>
                <w:kern w:val="0"/>
                <w:szCs w:val="21"/>
              </w:rPr>
              <w:t>提高课程</w:t>
            </w:r>
            <w:r>
              <w:rPr>
                <w:rFonts w:ascii="Times New Roman" w:hAnsi="Times New Roman" w:cs="宋体"/>
                <w:kern w:val="0"/>
                <w:szCs w:val="21"/>
              </w:rPr>
              <w:t>高阶性、创新性和挑战度的</w:t>
            </w:r>
            <w:r>
              <w:rPr>
                <w:rFonts w:hint="eastAsia" w:ascii="Times New Roman" w:hAnsi="Times New Roman" w:cs="宋体"/>
                <w:kern w:val="0"/>
                <w:szCs w:val="21"/>
              </w:rPr>
              <w:t>举措与实施成效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【必选】本科生生均课程门数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【可选】开出任选课和课程总数比例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【可选】小班授课比例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【可选】入选来华留学品牌课程数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hint="eastAsia" w:ascii="Times New Roman" w:hAnsi="Times New Roman" w:cs="宋体"/>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hint="eastAsia" w:ascii="Times New Roman" w:hAnsi="Times New Roman" w:cs="宋体"/>
                <w:kern w:val="0"/>
                <w:szCs w:val="21"/>
              </w:rPr>
              <w:t>；对教材选用工作出现负面问题的处理情况</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【必选】使用马工程重点教材课程数量与学校应使用马工程重点教材课程数量的比例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hint="eastAsia" w:ascii="Times New Roman" w:hAnsi="Times New Roman" w:cs="宋体"/>
                <w:kern w:val="0"/>
                <w:szCs w:val="21"/>
              </w:rPr>
              <w:t>资源建设，特别是优质的学科资源、科研资源转化应用于本科教育教学的情况</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w:t>
            </w:r>
            <w:bookmarkStart w:id="0" w:name="_Hlk61602326"/>
            <w:r>
              <w:rPr>
                <w:rFonts w:hint="eastAsia" w:ascii="Times New Roman" w:hAnsi="Times New Roman" w:cs="宋体"/>
                <w:kern w:val="0"/>
                <w:szCs w:val="21"/>
              </w:rPr>
              <w:t>生均年教学日常运行支出</w:t>
            </w:r>
            <w:bookmarkEnd w:id="0"/>
            <w:r>
              <w:rPr>
                <w:rFonts w:hint="eastAsia" w:ascii="Times New Roman" w:hAnsi="Times New Roman" w:cs="宋体"/>
                <w:kern w:val="0"/>
                <w:szCs w:val="21"/>
              </w:rPr>
              <w:t>≥1200元（备注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【必选】年新增教学科研仪器设备所占比例（要求见备注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w:t>
            </w:r>
            <w:r>
              <w:rPr>
                <w:rFonts w:hint="eastAsia" w:ascii="Times New Roman" w:hAnsi="Times New Roman" w:cs="宋体"/>
                <w:kern w:val="0"/>
                <w:szCs w:val="21"/>
              </w:rPr>
              <w:t>可选】</w:t>
            </w:r>
            <w:r>
              <w:rPr>
                <w:rFonts w:hint="eastAsia" w:ascii="Times New Roman" w:hAnsi="Times New Roman" w:cs="Times New Roman"/>
                <w:szCs w:val="21"/>
              </w:rPr>
              <w:t>国家级教学育人基地（平台、中心）数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hint="eastAsia" w:ascii="Times New Roman" w:hAnsi="Times New Roman" w:cs="宋体"/>
                <w:kern w:val="0"/>
                <w:szCs w:val="21"/>
              </w:rPr>
              <w:t>推动</w:t>
            </w:r>
            <w:r>
              <w:rPr>
                <w:rFonts w:ascii="Times New Roman" w:hAnsi="Times New Roman" w:cs="宋体"/>
                <w:kern w:val="0"/>
                <w:szCs w:val="21"/>
              </w:rPr>
              <w:t>招生</w:t>
            </w:r>
            <w:r>
              <w:rPr>
                <w:rFonts w:hint="eastAsia" w:ascii="Times New Roman" w:hAnsi="Times New Roman" w:cs="宋体"/>
                <w:kern w:val="0"/>
                <w:szCs w:val="21"/>
              </w:rPr>
              <w:t>与</w:t>
            </w:r>
            <w:r>
              <w:rPr>
                <w:rFonts w:ascii="Times New Roman" w:hAnsi="Times New Roman" w:cs="宋体"/>
                <w:kern w:val="0"/>
                <w:szCs w:val="21"/>
              </w:rPr>
              <w:t>培养联动改革的</w:t>
            </w:r>
            <w:r>
              <w:rPr>
                <w:rFonts w:hint="eastAsia" w:ascii="Times New Roman" w:hAnsi="Times New Roman" w:cs="宋体"/>
                <w:kern w:val="0"/>
                <w:szCs w:val="21"/>
              </w:rPr>
              <w:t>举措</w:t>
            </w:r>
            <w:r>
              <w:rPr>
                <w:rFonts w:ascii="Times New Roman" w:hAnsi="Times New Roman" w:cs="宋体"/>
                <w:kern w:val="0"/>
                <w:szCs w:val="21"/>
              </w:rPr>
              <w:t>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3.5.6 推动人才培养国际化的具体举措与成效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【可选】专任教师中具有一年以上国（境）外经历的教师比例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【可选】在学期间赴国（境）外高校访学的学生数占在校生数的比例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hint="eastAsia" w:ascii="Times New Roman" w:hAnsi="Times New Roman" w:cs="宋体"/>
                <w:kern w:val="0"/>
                <w:szCs w:val="21"/>
              </w:rPr>
              <w:t>就业与创新创业</w:t>
            </w:r>
            <w:r>
              <w:rPr>
                <w:rFonts w:ascii="Times New Roman" w:hAnsi="Times New Roman" w:cs="宋体"/>
                <w:kern w:val="0"/>
                <w:szCs w:val="21"/>
              </w:rPr>
              <w:t>教育</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hint="eastAsia" w:ascii="Times New Roman" w:hAnsi="Times New Roman" w:cs="宋体"/>
                <w:kern w:val="0"/>
                <w:szCs w:val="21"/>
              </w:rPr>
              <w:t>将创新创业教育贯穿于人才培养全过程、融入专业教育的举措及成效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【可选】产学合作协同育人项目数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【可选】本科生参加各级各类创新创业实践活动人数及比例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【可选】“互联网+”大学生创新创业大赛获奖数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hint="eastAsia" w:ascii="Times New Roman" w:hAnsi="Times New Roman" w:cs="宋体"/>
                <w:kern w:val="0"/>
                <w:szCs w:val="21"/>
              </w:rPr>
              <w:t>以高水平的科学研究提高学生创新创业能力的情况</w:t>
            </w:r>
          </w:p>
          <w:p>
            <w:pPr>
              <w:widowControl/>
              <w:spacing w:line="300" w:lineRule="exact"/>
              <w:jc w:val="left"/>
              <w:rPr>
                <w:rFonts w:ascii="Times New Roman" w:hAnsi="Times New Roman" w:cs="宋体"/>
                <w:kern w:val="0"/>
                <w:szCs w:val="21"/>
              </w:rPr>
            </w:pPr>
            <w:r>
              <w:rPr>
                <w:rFonts w:hint="eastAsia" w:ascii="Times New Roman" w:hAnsi="Times New Roman" w:cs="Times New Roman"/>
                <w:szCs w:val="21"/>
              </w:rPr>
              <w:t>【可选】本科生以第一作者/通讯作者在核心期刊发表的论文数及以第一作者获批国家发明专利数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hint="eastAsia" w:ascii="Times New Roman" w:hAnsi="Times New Roman" w:cs="宋体"/>
                <w:kern w:val="0"/>
                <w:szCs w:val="21"/>
              </w:rPr>
              <w:t>开展</w:t>
            </w:r>
            <w:r>
              <w:rPr>
                <w:rFonts w:ascii="Times New Roman" w:hAnsi="Times New Roman" w:cs="宋体"/>
                <w:kern w:val="0"/>
                <w:szCs w:val="21"/>
              </w:rPr>
              <w:t>大学生职业生涯规划教育的举措及成效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shd w:val="clear" w:color="auto" w:fill="auto"/>
            <w:vAlign w:val="center"/>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教育教学综合改革</w:t>
            </w:r>
          </w:p>
        </w:tc>
        <w:tc>
          <w:tcPr>
            <w:tcW w:w="7087"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hint="eastAsia" w:ascii="Times New Roman" w:hAnsi="Times New Roman" w:cs="宋体"/>
                <w:kern w:val="0"/>
                <w:szCs w:val="21"/>
              </w:rPr>
              <w:t>、</w:t>
            </w:r>
            <w:r>
              <w:rPr>
                <w:rFonts w:ascii="Times New Roman" w:hAnsi="Times New Roman" w:cs="宋体"/>
                <w:kern w:val="0"/>
                <w:szCs w:val="21"/>
              </w:rPr>
              <w:t>整体性</w:t>
            </w:r>
            <w:r>
              <w:rPr>
                <w:rFonts w:hint="eastAsia" w:ascii="Times New Roman" w:hAnsi="Times New Roman" w:cs="宋体"/>
                <w:kern w:val="0"/>
                <w:szCs w:val="21"/>
              </w:rPr>
              <w:t>、</w:t>
            </w:r>
            <w:r>
              <w:rPr>
                <w:rFonts w:ascii="Times New Roman" w:hAnsi="Times New Roman" w:cs="宋体"/>
                <w:kern w:val="0"/>
                <w:szCs w:val="21"/>
              </w:rPr>
              <w:t>前瞻性</w:t>
            </w:r>
            <w:r>
              <w:rPr>
                <w:rFonts w:hint="eastAsia" w:ascii="Times New Roman" w:hAnsi="Times New Roman" w:cs="宋体"/>
                <w:kern w:val="0"/>
                <w:szCs w:val="21"/>
              </w:rPr>
              <w:t>、</w:t>
            </w:r>
            <w:r>
              <w:rPr>
                <w:rFonts w:ascii="Times New Roman" w:hAnsi="Times New Roman" w:cs="宋体"/>
                <w:kern w:val="0"/>
                <w:szCs w:val="21"/>
              </w:rPr>
              <w:t>协同性的本科教育教学综合改革与创新实践</w:t>
            </w:r>
            <w:r>
              <w:rPr>
                <w:rFonts w:hint="eastAsia" w:ascii="Times New Roman" w:hAnsi="Times New Roman" w:cs="宋体"/>
                <w:kern w:val="0"/>
                <w:szCs w:val="21"/>
              </w:rPr>
              <w:t>，且在国际上具有一定代表性</w:t>
            </w:r>
          </w:p>
        </w:tc>
      </w:tr>
    </w:tbl>
    <w:p>
      <w:pPr>
        <w:spacing w:line="300" w:lineRule="exact"/>
        <w:rPr>
          <w:rFonts w:ascii="Times New Roman" w:hAnsi="Times New Roman" w:cs="Times New Roman"/>
          <w:b/>
          <w:sz w:val="24"/>
          <w:szCs w:val="24"/>
          <w:lang w:val="zh-TW"/>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该定量指标学校可结合办学实际和优势特色，从高等教育质量监测国家数据平台提供的教学基本状态常态监测数据中自主选择，进行等量或超量替换。</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4.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r>
        <w:rPr>
          <w:rFonts w:ascii="Times New Roman" w:hAnsi="Times New Roman" w:eastAsia="仿宋_GB2312"/>
          <w:sz w:val="28"/>
          <w:szCs w:val="28"/>
        </w:rPr>
        <w:br w:type="page"/>
      </w:r>
    </w:p>
    <w:p>
      <w:pPr>
        <w:spacing w:line="560" w:lineRule="exact"/>
        <w:rPr>
          <w:rFonts w:ascii="Times New Roman" w:hAnsi="Times New Roman" w:eastAsia="黑体"/>
          <w:sz w:val="30"/>
          <w:szCs w:val="30"/>
        </w:rPr>
      </w:pPr>
      <w:r>
        <w:rPr>
          <w:rFonts w:hint="eastAsia" w:ascii="Times New Roman" w:hAnsi="Times New Roman" w:eastAsia="黑体"/>
          <w:sz w:val="30"/>
          <w:szCs w:val="30"/>
        </w:rPr>
        <w:t>二、第二类审核评估</w:t>
      </w: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培养方案强化理论基础、突出科教融合、注重培养学生创新能力情况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专业设置、专业建设与国家重大发展战略及社会对创新型人才需求的契合情况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围绕国家和区域经济发展需求，建立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学校与科研院所、企业共建科研实践、实习实训基地情况</w:t>
            </w:r>
          </w:p>
          <w:p>
            <w:pPr>
              <w:widowControl/>
              <w:spacing w:line="300" w:lineRule="exact"/>
              <w:rPr>
                <w:rFonts w:ascii="Times New Roman" w:hAnsi="Times New Roman" w:eastAsia="PMingLiU" w:cs="宋体"/>
                <w:color w:val="FF0000"/>
                <w:kern w:val="0"/>
                <w:szCs w:val="21"/>
                <w:lang w:eastAsia="zh-TW"/>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毕业论文（</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）选题来自教师专业实践、科研课题情况及完成质量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毕业</w:t>
            </w:r>
            <w:r>
              <w:rPr>
                <w:rFonts w:ascii="Times New Roman" w:hAnsi="Times New Roman" w:cs="宋体"/>
                <w:color w:val="000000"/>
                <w:kern w:val="0"/>
                <w:szCs w:val="21"/>
              </w:rPr>
              <w:t>论文</w:t>
            </w:r>
            <w:r>
              <w:rPr>
                <w:rFonts w:hint="eastAsia" w:ascii="Times New Roman" w:hAnsi="Times New Roman" w:cs="宋体"/>
                <w:color w:val="000000"/>
                <w:kern w:val="0"/>
                <w:szCs w:val="21"/>
              </w:rPr>
              <w:t>（</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）选题来自行业企业一线需要、实行校企“双导师”制情况及完成质量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科教协同</w:t>
            </w:r>
            <w:r>
              <w:rPr>
                <w:rFonts w:hint="eastAsia" w:ascii="Times New Roman" w:hAnsi="Times New Roman" w:cs="宋体"/>
                <w:color w:val="000000"/>
                <w:kern w:val="0"/>
                <w:szCs w:val="21"/>
              </w:rPr>
              <w:t>拔尖人才培养模式改革及其实践效果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【可选】基础学科拔尖学生培养计划学生数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X3.1</w:t>
            </w:r>
            <w:r>
              <w:rPr>
                <w:rFonts w:ascii="Times New Roman" w:hAnsi="Times New Roman" w:cs="宋体"/>
                <w:color w:val="000000"/>
                <w:kern w:val="0"/>
                <w:szCs w:val="21"/>
              </w:rPr>
              <w:t>设施</w:t>
            </w:r>
          </w:p>
          <w:p>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3.1.1</w:t>
            </w:r>
            <w:r>
              <w:rPr>
                <w:rFonts w:ascii="Times New Roman" w:hAnsi="Times New Roman" w:cs="Times New Roman"/>
                <w:szCs w:val="21"/>
              </w:rPr>
              <w:t xml:space="preserve"> </w:t>
            </w:r>
            <w:r>
              <w:rPr>
                <w:rFonts w:hint="eastAsia" w:ascii="Times New Roman" w:hAnsi="Times New Roman" w:cs="宋体"/>
                <w:color w:val="000000"/>
                <w:kern w:val="0"/>
                <w:szCs w:val="21"/>
              </w:rPr>
              <w:t>教学经费、图书资料、校园网等满足教学要求情况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900"/>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3.1.2</w:t>
            </w:r>
            <w:r>
              <w:rPr>
                <w:rFonts w:ascii="Times New Roman" w:hAnsi="Times New Roman" w:cs="Times New Roman"/>
                <w:szCs w:val="21"/>
              </w:rPr>
              <w:t xml:space="preserve"> </w:t>
            </w:r>
            <w:r>
              <w:rPr>
                <w:rFonts w:hint="eastAsia" w:ascii="Times New Roman" w:hAnsi="Times New Roman" w:cs="宋体"/>
                <w:color w:val="000000"/>
                <w:kern w:val="0"/>
                <w:szCs w:val="21"/>
              </w:rPr>
              <w:t>校舍、运动场所、体育设施、艺术场馆</w:t>
            </w:r>
            <w:r>
              <w:rPr>
                <w:rFonts w:ascii="Times New Roman" w:hAnsi="Times New Roman" w:cs="宋体"/>
                <w:color w:val="000000"/>
                <w:kern w:val="0"/>
                <w:szCs w:val="21"/>
              </w:rPr>
              <w:t>、</w:t>
            </w:r>
            <w:r>
              <w:rPr>
                <w:rFonts w:hint="eastAsia" w:ascii="Times New Roman" w:hAnsi="Times New Roman" w:cs="宋体"/>
                <w:color w:val="000000"/>
                <w:kern w:val="0"/>
                <w:szCs w:val="21"/>
              </w:rPr>
              <w:t>实验室、实习基地及其设施条件满足教学要求情况及利用率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B1 优质</w:t>
            </w:r>
            <w:r>
              <w:rPr>
                <w:rFonts w:hint="eastAsia" w:ascii="Times New Roman" w:hAnsi="Times New Roman" w:cs="宋体"/>
                <w:color w:val="000000"/>
                <w:kern w:val="0"/>
                <w:szCs w:val="21"/>
              </w:rPr>
              <w:t>教学资源建设及其共享</w:t>
            </w:r>
            <w:r>
              <w:rPr>
                <w:rFonts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hint="eastAsia" w:ascii="Times New Roman" w:hAnsi="Times New Roman" w:cs="宋体"/>
                <w:kern w:val="0"/>
                <w:szCs w:val="21"/>
              </w:rPr>
              <w:t>面向国家、行业领域需求</w:t>
            </w:r>
            <w:r>
              <w:rPr>
                <w:rFonts w:ascii="Times New Roman" w:hAnsi="Times New Roman" w:cs="宋体"/>
                <w:kern w:val="0"/>
                <w:szCs w:val="21"/>
              </w:rPr>
              <w:t>的</w:t>
            </w:r>
            <w:r>
              <w:rPr>
                <w:rFonts w:hint="eastAsia" w:ascii="Times New Roman" w:hAnsi="Times New Roman" w:cs="宋体"/>
                <w:kern w:val="0"/>
                <w:szCs w:val="21"/>
              </w:rPr>
              <w:t>高水平</w:t>
            </w:r>
            <w:r>
              <w:rPr>
                <w:rFonts w:ascii="Times New Roman" w:hAnsi="Times New Roman" w:cs="宋体"/>
                <w:kern w:val="0"/>
                <w:szCs w:val="21"/>
              </w:rPr>
              <w:t>教材建设举措与成效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学科资源</w:t>
            </w:r>
            <w:r>
              <w:rPr>
                <w:rFonts w:hint="eastAsia" w:ascii="Times New Roman" w:hAnsi="Times New Roman" w:cs="宋体"/>
                <w:color w:val="000000"/>
                <w:kern w:val="0"/>
                <w:szCs w:val="21"/>
              </w:rPr>
              <w:t>、科研成果转化为教学资源情况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hint="eastAsia" w:ascii="Times New Roman" w:hAnsi="Times New Roman" w:cs="宋体"/>
                <w:kern w:val="0"/>
                <w:szCs w:val="21"/>
              </w:rPr>
              <w:t>专任教师的专业水平、教学能力、科研水平和能力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B1 提升教师教学能力、实践能力、科研能力、</w:t>
            </w:r>
            <w:r>
              <w:rPr>
                <w:rFonts w:ascii="Times New Roman" w:hAnsi="Times New Roman" w:cs="宋体"/>
                <w:kern w:val="0"/>
                <w:szCs w:val="21"/>
              </w:rPr>
              <w:t>信息技术应用能力</w:t>
            </w:r>
            <w:r>
              <w:rPr>
                <w:rFonts w:hint="eastAsia" w:ascii="Times New Roman" w:hAnsi="Times New Roman" w:cs="宋体"/>
                <w:kern w:val="0"/>
                <w:szCs w:val="21"/>
              </w:rPr>
              <w:t>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教师队伍分类管理与建设情况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学生基础理论、知识面和创新能力</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毕业生面向国家和经济社会发展需要就业情况、就业质量和职业发展情况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pPr>
        <w:spacing w:line="300" w:lineRule="exact"/>
        <w:rPr>
          <w:rFonts w:ascii="Times New Roman" w:hAnsi="Times New Roman" w:cs="宋体"/>
          <w:b/>
          <w:kern w:val="0"/>
          <w:szCs w:val="21"/>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C7"/>
    <w:rsid w:val="004555C7"/>
    <w:rsid w:val="00AE0B56"/>
    <w:rsid w:val="1049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框文本 Char"/>
    <w:basedOn w:val="10"/>
    <w:link w:val="4"/>
    <w:semiHidden/>
    <w:qFormat/>
    <w:uiPriority w:val="99"/>
    <w:rPr>
      <w:sz w:val="18"/>
      <w:szCs w:val="18"/>
    </w:rPr>
  </w:style>
  <w:style w:type="character" w:customStyle="1" w:styleId="13">
    <w:name w:val="标题 1 Char"/>
    <w:basedOn w:val="10"/>
    <w:link w:val="2"/>
    <w:qFormat/>
    <w:uiPriority w:val="9"/>
    <w:rPr>
      <w:rFonts w:ascii="宋体" w:hAnsi="宋体" w:eastAsia="黑体" w:cs="宋体"/>
      <w:b/>
      <w:bCs/>
      <w:kern w:val="36"/>
      <w:sz w:val="32"/>
      <w:szCs w:val="48"/>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table" w:customStyle="1" w:styleId="16">
    <w:name w:val="网格型1"/>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文字 Char"/>
    <w:basedOn w:val="10"/>
    <w:link w:val="3"/>
    <w:semiHidden/>
    <w:qFormat/>
    <w:uiPriority w:val="99"/>
  </w:style>
  <w:style w:type="character" w:customStyle="1" w:styleId="19">
    <w:name w:val="批注主题 Char"/>
    <w:basedOn w:val="18"/>
    <w:link w:val="7"/>
    <w:semiHidden/>
    <w:qFormat/>
    <w:uiPriority w:val="99"/>
    <w:rPr>
      <w:b/>
      <w:bCs/>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2166</Words>
  <Characters>12351</Characters>
  <Lines>102</Lines>
  <Paragraphs>28</Paragraphs>
  <TotalTime>5</TotalTime>
  <ScaleCrop>false</ScaleCrop>
  <LinksUpToDate>false</LinksUpToDate>
  <CharactersWithSpaces>14489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2021-02-07T04:46:00Z</dcterms:created>
  <dc:creator>Lenovo</dc:creator>
  <cp:lastModifiedBy>舒宸</cp:lastModifiedBy>
  <cp:lastPrinted>2021-02-07T04:47:00Z</cp:lastPrinted>
  <dcterms:modified xsi:type="dcterms:W3CDTF">2021-03-03T02:14:48Z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